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ED156" w14:textId="77777777" w:rsidR="005A476D" w:rsidRPr="008576AA" w:rsidRDefault="005A476D" w:rsidP="008576AA">
      <w:pPr>
        <w:pStyle w:val="SOPLevel1"/>
      </w:pPr>
      <w:r w:rsidRPr="008576AA">
        <w:t>PURPOSE</w:t>
      </w:r>
    </w:p>
    <w:p w14:paraId="633FDC4A" w14:textId="655FB19E" w:rsidR="005A476D" w:rsidRDefault="005A476D" w:rsidP="00BA6AAD">
      <w:pPr>
        <w:pStyle w:val="SOPLevel2"/>
      </w:pPr>
      <w:r>
        <w:t xml:space="preserve">This procedure establishes the process </w:t>
      </w:r>
      <w:r w:rsidR="00B37222">
        <w:t>that the IRB will follow to develop a response to an emergency/disaster that impacts the human research protection program (HRPP), such as:</w:t>
      </w:r>
    </w:p>
    <w:p w14:paraId="232DEE9D" w14:textId="4ABFA41E" w:rsidR="00B37222" w:rsidRDefault="00B37222" w:rsidP="00B37222">
      <w:pPr>
        <w:pStyle w:val="SOPLevel3"/>
      </w:pPr>
      <w:r>
        <w:t>Disease outbreaks</w:t>
      </w:r>
    </w:p>
    <w:p w14:paraId="3507F6DB" w14:textId="43D906B6" w:rsidR="00B37222" w:rsidRDefault="00B37222" w:rsidP="00B37222">
      <w:pPr>
        <w:pStyle w:val="SOPLevel3"/>
      </w:pPr>
      <w:r>
        <w:t>Extreme weather events</w:t>
      </w:r>
      <w:bookmarkStart w:id="0" w:name="_GoBack"/>
      <w:bookmarkEnd w:id="0"/>
    </w:p>
    <w:p w14:paraId="77E3530C" w14:textId="636F58EF" w:rsidR="00B37222" w:rsidRDefault="00B37222" w:rsidP="00B37222">
      <w:pPr>
        <w:pStyle w:val="SOPLevel3"/>
      </w:pPr>
      <w:r>
        <w:t>Natural disasters</w:t>
      </w:r>
    </w:p>
    <w:p w14:paraId="41B3BF10" w14:textId="45AC1ECC" w:rsidR="00B37222" w:rsidRDefault="00B37222" w:rsidP="00B37222">
      <w:pPr>
        <w:pStyle w:val="SOPLevel3"/>
      </w:pPr>
      <w:r>
        <w:t>Man-made disasters</w:t>
      </w:r>
    </w:p>
    <w:p w14:paraId="1BB04C76" w14:textId="6078ECBF" w:rsidR="005A476D" w:rsidRDefault="005A476D" w:rsidP="00BA6AAD">
      <w:pPr>
        <w:pStyle w:val="SOPLevel2"/>
      </w:pPr>
      <w:r>
        <w:t>The proces</w:t>
      </w:r>
      <w:r w:rsidR="00EB33D4">
        <w:t>s begins when the IRB manager,</w:t>
      </w:r>
      <w:r>
        <w:t xml:space="preserve"> </w:t>
      </w:r>
      <w:r w:rsidR="00875459">
        <w:rPr>
          <w:u w:val="double"/>
        </w:rPr>
        <w:t>Institutional</w:t>
      </w:r>
      <w:r w:rsidRPr="0071616D">
        <w:rPr>
          <w:u w:val="double"/>
        </w:rPr>
        <w:t xml:space="preserve"> Official</w:t>
      </w:r>
      <w:r w:rsidRPr="0071616D">
        <w:t xml:space="preserve"> </w:t>
      </w:r>
      <w:r>
        <w:t>or designee</w:t>
      </w:r>
      <w:r w:rsidR="00EB33D4">
        <w:rPr>
          <w:u w:val="double"/>
        </w:rPr>
        <w:t xml:space="preserve"> </w:t>
      </w:r>
      <w:r>
        <w:t>determines that a</w:t>
      </w:r>
      <w:r w:rsidR="00B37222">
        <w:t>n emergency/disaster will impact HRPP operations</w:t>
      </w:r>
      <w:r>
        <w:t>.</w:t>
      </w:r>
    </w:p>
    <w:p w14:paraId="56CAD141" w14:textId="3F76E8BA" w:rsidR="005A476D" w:rsidRDefault="005A476D" w:rsidP="00BA6AAD">
      <w:pPr>
        <w:pStyle w:val="SOPLevel2"/>
      </w:pPr>
      <w:r>
        <w:t xml:space="preserve">The process ends when the </w:t>
      </w:r>
      <w:r w:rsidR="00B37222">
        <w:t>event no longer impacts the HRPP</w:t>
      </w:r>
      <w:r>
        <w:t>.</w:t>
      </w:r>
    </w:p>
    <w:p w14:paraId="6CB49238" w14:textId="77777777" w:rsidR="00875459" w:rsidRDefault="00875459" w:rsidP="00875459">
      <w:pPr>
        <w:pStyle w:val="SOPLevel1"/>
        <w:numPr>
          <w:ilvl w:val="0"/>
          <w:numId w:val="0"/>
        </w:numPr>
        <w:ind w:left="360"/>
      </w:pPr>
    </w:p>
    <w:p w14:paraId="1608324D" w14:textId="5EC2A804" w:rsidR="005A476D" w:rsidRPr="008576AA" w:rsidRDefault="005A476D" w:rsidP="008576AA">
      <w:pPr>
        <w:pStyle w:val="SOPLevel1"/>
      </w:pPr>
      <w:r w:rsidRPr="008576AA">
        <w:t>REVISIONS FROM PREVIOUS VERSION</w:t>
      </w:r>
    </w:p>
    <w:tbl>
      <w:tblPr>
        <w:tblStyle w:val="TableGrid"/>
        <w:tblW w:w="0" w:type="auto"/>
        <w:tblInd w:w="360" w:type="dxa"/>
        <w:tblLook w:val="04A0" w:firstRow="1" w:lastRow="0" w:firstColumn="1" w:lastColumn="0" w:noHBand="0" w:noVBand="1"/>
      </w:tblPr>
      <w:tblGrid>
        <w:gridCol w:w="950"/>
        <w:gridCol w:w="1213"/>
        <w:gridCol w:w="6827"/>
      </w:tblGrid>
      <w:tr w:rsidR="00A37C51" w14:paraId="141E1CF4" w14:textId="77777777" w:rsidTr="00B37222">
        <w:tc>
          <w:tcPr>
            <w:tcW w:w="950" w:type="dxa"/>
          </w:tcPr>
          <w:p w14:paraId="6B814A1E" w14:textId="77777777" w:rsidR="00A37C51" w:rsidRDefault="00A37C51" w:rsidP="00190404">
            <w:pPr>
              <w:pStyle w:val="SOPLevel1"/>
              <w:numPr>
                <w:ilvl w:val="0"/>
                <w:numId w:val="0"/>
              </w:numPr>
              <w:jc w:val="center"/>
            </w:pPr>
            <w:r>
              <w:t>Version</w:t>
            </w:r>
          </w:p>
        </w:tc>
        <w:tc>
          <w:tcPr>
            <w:tcW w:w="1213" w:type="dxa"/>
          </w:tcPr>
          <w:p w14:paraId="491072FA" w14:textId="77777777" w:rsidR="00A37C51" w:rsidRDefault="00A37C51" w:rsidP="00190404">
            <w:pPr>
              <w:pStyle w:val="SOPLevel1"/>
              <w:numPr>
                <w:ilvl w:val="0"/>
                <w:numId w:val="0"/>
              </w:numPr>
              <w:jc w:val="center"/>
            </w:pPr>
            <w:r>
              <w:t>Date</w:t>
            </w:r>
          </w:p>
        </w:tc>
        <w:tc>
          <w:tcPr>
            <w:tcW w:w="6827" w:type="dxa"/>
          </w:tcPr>
          <w:p w14:paraId="7669379A" w14:textId="77777777" w:rsidR="00A37C51" w:rsidRDefault="00A37C51" w:rsidP="00190404">
            <w:pPr>
              <w:pStyle w:val="SOPLevel1"/>
              <w:numPr>
                <w:ilvl w:val="0"/>
                <w:numId w:val="0"/>
              </w:numPr>
              <w:jc w:val="center"/>
            </w:pPr>
            <w:r>
              <w:t>Revisions</w:t>
            </w:r>
          </w:p>
        </w:tc>
      </w:tr>
      <w:tr w:rsidR="00A37C51" w:rsidRPr="00DB2AA3" w14:paraId="3363B34A" w14:textId="77777777" w:rsidTr="00B37222">
        <w:tc>
          <w:tcPr>
            <w:tcW w:w="950" w:type="dxa"/>
          </w:tcPr>
          <w:p w14:paraId="3E978278" w14:textId="77777777" w:rsidR="00A37C51" w:rsidRPr="00DB2AA3" w:rsidRDefault="00A37C51" w:rsidP="00190404">
            <w:pPr>
              <w:pStyle w:val="SOPLevel1"/>
              <w:numPr>
                <w:ilvl w:val="0"/>
                <w:numId w:val="0"/>
              </w:numPr>
              <w:jc w:val="center"/>
              <w:rPr>
                <w:b w:val="0"/>
              </w:rPr>
            </w:pPr>
            <w:r>
              <w:rPr>
                <w:b w:val="0"/>
              </w:rPr>
              <w:t>R00</w:t>
            </w:r>
          </w:p>
        </w:tc>
        <w:tc>
          <w:tcPr>
            <w:tcW w:w="1213" w:type="dxa"/>
          </w:tcPr>
          <w:p w14:paraId="636C9E8B" w14:textId="7D15049D" w:rsidR="00A37C51" w:rsidRPr="00DB2AA3" w:rsidRDefault="00B37222" w:rsidP="00293D03">
            <w:pPr>
              <w:pStyle w:val="SOPLevel1"/>
              <w:numPr>
                <w:ilvl w:val="0"/>
                <w:numId w:val="0"/>
              </w:numPr>
              <w:jc w:val="center"/>
              <w:rPr>
                <w:b w:val="0"/>
              </w:rPr>
            </w:pPr>
            <w:r>
              <w:rPr>
                <w:b w:val="0"/>
              </w:rPr>
              <w:t>12/12/22</w:t>
            </w:r>
          </w:p>
        </w:tc>
        <w:tc>
          <w:tcPr>
            <w:tcW w:w="6827" w:type="dxa"/>
          </w:tcPr>
          <w:p w14:paraId="33C3EA0B" w14:textId="77777777" w:rsidR="00A37C51" w:rsidRPr="00DB2AA3" w:rsidRDefault="00A37C51" w:rsidP="00190404">
            <w:pPr>
              <w:pStyle w:val="SOPLevel1"/>
              <w:numPr>
                <w:ilvl w:val="0"/>
                <w:numId w:val="0"/>
              </w:numPr>
              <w:jc w:val="center"/>
              <w:rPr>
                <w:b w:val="0"/>
              </w:rPr>
            </w:pPr>
            <w:r>
              <w:rPr>
                <w:b w:val="0"/>
              </w:rPr>
              <w:t>Original issue</w:t>
            </w:r>
          </w:p>
        </w:tc>
      </w:tr>
      <w:tr w:rsidR="00550847" w:rsidRPr="00DB2AA3" w14:paraId="5BB16BEE" w14:textId="77777777" w:rsidTr="00B37222">
        <w:tc>
          <w:tcPr>
            <w:tcW w:w="950" w:type="dxa"/>
          </w:tcPr>
          <w:p w14:paraId="5B544421" w14:textId="78507C12" w:rsidR="00550847" w:rsidRDefault="00550847" w:rsidP="00550847">
            <w:pPr>
              <w:pStyle w:val="SOPLevel1"/>
              <w:numPr>
                <w:ilvl w:val="0"/>
                <w:numId w:val="0"/>
              </w:numPr>
              <w:jc w:val="center"/>
              <w:rPr>
                <w:b w:val="0"/>
              </w:rPr>
            </w:pPr>
            <w:r>
              <w:rPr>
                <w:b w:val="0"/>
              </w:rPr>
              <w:t>R00</w:t>
            </w:r>
          </w:p>
        </w:tc>
        <w:tc>
          <w:tcPr>
            <w:tcW w:w="1213" w:type="dxa"/>
          </w:tcPr>
          <w:p w14:paraId="4AC694A8" w14:textId="77251008" w:rsidR="00550847" w:rsidRDefault="00550847" w:rsidP="00550847">
            <w:pPr>
              <w:pStyle w:val="SOPLevel1"/>
              <w:numPr>
                <w:ilvl w:val="0"/>
                <w:numId w:val="0"/>
              </w:numPr>
              <w:jc w:val="center"/>
              <w:rPr>
                <w:b w:val="0"/>
              </w:rPr>
            </w:pPr>
            <w:r>
              <w:rPr>
                <w:b w:val="0"/>
              </w:rPr>
              <w:t>1</w:t>
            </w:r>
            <w:r>
              <w:rPr>
                <w:b w:val="0"/>
              </w:rPr>
              <w:t>1/14/23</w:t>
            </w:r>
          </w:p>
        </w:tc>
        <w:tc>
          <w:tcPr>
            <w:tcW w:w="6827" w:type="dxa"/>
          </w:tcPr>
          <w:p w14:paraId="3F41D5BC" w14:textId="37FE1308" w:rsidR="00550847" w:rsidRDefault="00550847" w:rsidP="00550847">
            <w:pPr>
              <w:pStyle w:val="SOPLevel1"/>
              <w:numPr>
                <w:ilvl w:val="0"/>
                <w:numId w:val="0"/>
              </w:numPr>
              <w:jc w:val="center"/>
              <w:rPr>
                <w:b w:val="0"/>
              </w:rPr>
            </w:pPr>
            <w:r>
              <w:rPr>
                <w:b w:val="0"/>
              </w:rPr>
              <w:t>Annual review, no changes.</w:t>
            </w:r>
          </w:p>
        </w:tc>
      </w:tr>
    </w:tbl>
    <w:p w14:paraId="1424F7CA" w14:textId="77777777" w:rsidR="00875459" w:rsidRDefault="00875459" w:rsidP="00875459">
      <w:pPr>
        <w:pStyle w:val="SOPLevel1"/>
        <w:numPr>
          <w:ilvl w:val="0"/>
          <w:numId w:val="0"/>
        </w:numPr>
        <w:ind w:left="360"/>
      </w:pPr>
    </w:p>
    <w:p w14:paraId="2AA00E51" w14:textId="2D5AEC38" w:rsidR="005A476D" w:rsidRPr="008576AA" w:rsidRDefault="0E41B0BA" w:rsidP="008576AA">
      <w:pPr>
        <w:pStyle w:val="SOPLevel1"/>
      </w:pPr>
      <w:r>
        <w:t>POLICY</w:t>
      </w:r>
    </w:p>
    <w:p w14:paraId="48C9DA01" w14:textId="46CF055C" w:rsidR="005A476D" w:rsidRDefault="00B37222" w:rsidP="0068387B">
      <w:pPr>
        <w:pStyle w:val="SOPLevel2"/>
      </w:pPr>
      <w:r>
        <w:t>The office of Research Compliance (ORC), which oversees the HRPP operations will work with the University at Buffalo Emergency response team to develop a response to an emergency that affects the program.</w:t>
      </w:r>
    </w:p>
    <w:p w14:paraId="0F0D6FFE" w14:textId="49DB98EB" w:rsidR="00B37222" w:rsidRDefault="00B37222" w:rsidP="00422050">
      <w:pPr>
        <w:pStyle w:val="SOPLevel2"/>
      </w:pPr>
      <w:r>
        <w:t>This plan will be reviewed at least annually by a member of the HRPP for potential revision as part of the HRPP annual document review</w:t>
      </w:r>
      <w:r w:rsidR="00422050">
        <w:t xml:space="preserve"> (</w:t>
      </w:r>
      <w:r w:rsidR="00422050" w:rsidRPr="00422050">
        <w:t>HRP-060-R02 - SOP - Annual Evaluations of the HRPP</w:t>
      </w:r>
      <w:r w:rsidR="00422050">
        <w:t>)</w:t>
      </w:r>
      <w:r>
        <w:t>.</w:t>
      </w:r>
    </w:p>
    <w:p w14:paraId="34096D2D" w14:textId="31EA3C77" w:rsidR="00B37222" w:rsidRDefault="00B37222" w:rsidP="0068387B">
      <w:pPr>
        <w:pStyle w:val="SOPLevel2"/>
      </w:pPr>
      <w:r>
        <w:t xml:space="preserve">This plan may also be reviewed if important updates/ revisions </w:t>
      </w:r>
      <w:r w:rsidR="00875459">
        <w:t>will improve the plan.</w:t>
      </w:r>
    </w:p>
    <w:p w14:paraId="021E76BA" w14:textId="63B0A2D2" w:rsidR="00422050" w:rsidRDefault="00422050" w:rsidP="0068387B">
      <w:pPr>
        <w:pStyle w:val="SOPLevel2"/>
      </w:pPr>
      <w:r>
        <w:t>This plan will be communicated to the IRB staff and members as an annual educational item during convened meetings</w:t>
      </w:r>
    </w:p>
    <w:p w14:paraId="19680C3A" w14:textId="33E7F416" w:rsidR="00422050" w:rsidRDefault="00422050" w:rsidP="00422050">
      <w:pPr>
        <w:pStyle w:val="SOPLevel3"/>
      </w:pPr>
      <w:r>
        <w:t>At least annually or when significant revisions are made to the plan.</w:t>
      </w:r>
    </w:p>
    <w:p w14:paraId="4CEE9A3C" w14:textId="112CBE08" w:rsidR="00422050" w:rsidRDefault="00422050" w:rsidP="00422050">
      <w:pPr>
        <w:pStyle w:val="SOPLevel2"/>
      </w:pPr>
      <w:r>
        <w:t xml:space="preserve">This plan will be communicated to the investigators as educational material via investigator </w:t>
      </w:r>
      <w:r w:rsidR="00EB33D4">
        <w:t>LISTSERVs</w:t>
      </w:r>
      <w:r>
        <w:t xml:space="preserve"> upon initial approval, and anytime significant revisions that may affect the investigators ability to carry out human research during an emergency incident are included</w:t>
      </w:r>
    </w:p>
    <w:p w14:paraId="788BF74F" w14:textId="77777777" w:rsidR="00875459" w:rsidRDefault="00875459" w:rsidP="00875459">
      <w:pPr>
        <w:pStyle w:val="SOPLevel1"/>
        <w:numPr>
          <w:ilvl w:val="0"/>
          <w:numId w:val="0"/>
        </w:numPr>
        <w:ind w:left="360"/>
      </w:pPr>
    </w:p>
    <w:p w14:paraId="08AB0C2E" w14:textId="5AB54E5C" w:rsidR="005A476D" w:rsidRDefault="0E41B0BA" w:rsidP="00202756">
      <w:pPr>
        <w:pStyle w:val="SOPLevel1"/>
      </w:pPr>
      <w:r>
        <w:t>RESPONSIBILITIES</w:t>
      </w:r>
    </w:p>
    <w:p w14:paraId="13D64410" w14:textId="4645F56F" w:rsidR="005A476D" w:rsidRDefault="0E41B0BA" w:rsidP="00202756">
      <w:pPr>
        <w:pStyle w:val="SOPLevel2"/>
      </w:pPr>
      <w:r>
        <w:t xml:space="preserve">The </w:t>
      </w:r>
      <w:r w:rsidR="00875459">
        <w:t>Institutional Official, I</w:t>
      </w:r>
      <w:r>
        <w:t>RB manager</w:t>
      </w:r>
      <w:r w:rsidR="00875459">
        <w:t>, or their designee will</w:t>
      </w:r>
      <w:r>
        <w:t xml:space="preserve"> carries out these procedures.</w:t>
      </w:r>
    </w:p>
    <w:p w14:paraId="291F011A" w14:textId="77777777" w:rsidR="00875459" w:rsidRDefault="00875459" w:rsidP="00875459">
      <w:pPr>
        <w:pStyle w:val="SOPLevel1"/>
        <w:numPr>
          <w:ilvl w:val="0"/>
          <w:numId w:val="0"/>
        </w:numPr>
        <w:ind w:left="360"/>
      </w:pPr>
    </w:p>
    <w:p w14:paraId="7A724E9F" w14:textId="071AC5B2" w:rsidR="005A476D" w:rsidRPr="008576AA" w:rsidRDefault="0E41B0BA" w:rsidP="00095397">
      <w:pPr>
        <w:pStyle w:val="SOPLevel1"/>
      </w:pPr>
      <w:r>
        <w:t>PROCEDURE</w:t>
      </w:r>
    </w:p>
    <w:p w14:paraId="36933BB1" w14:textId="67F6A5A4" w:rsidR="005A476D" w:rsidRDefault="00875459" w:rsidP="00095397">
      <w:pPr>
        <w:pStyle w:val="SOPLevel2"/>
      </w:pPr>
      <w:r>
        <w:t>If an emergency/disaster occurs or is imminent, the effects upon the HRPP operations will be identified.</w:t>
      </w:r>
    </w:p>
    <w:p w14:paraId="7E61EFB2" w14:textId="7EFD7BB2" w:rsidR="005A476D" w:rsidRDefault="00875459" w:rsidP="00095397">
      <w:pPr>
        <w:pStyle w:val="SOPLevel2"/>
      </w:pPr>
      <w:r>
        <w:t xml:space="preserve">If the effects involve areas outside of the ORC, but critical to HRPP operations, </w:t>
      </w:r>
      <w:r w:rsidR="000A4436">
        <w:t xml:space="preserve">work with institutional leadership to identify </w:t>
      </w:r>
      <w:r>
        <w:t xml:space="preserve">appropriate contact persons for each </w:t>
      </w:r>
      <w:r w:rsidR="000A4436">
        <w:t xml:space="preserve">critical </w:t>
      </w:r>
      <w:r>
        <w:t>area.  These might include</w:t>
      </w:r>
    </w:p>
    <w:p w14:paraId="0985B864" w14:textId="5939B4B9" w:rsidR="00875459" w:rsidRDefault="00875459" w:rsidP="00875459">
      <w:pPr>
        <w:pStyle w:val="SOPLevel3"/>
      </w:pPr>
      <w:r>
        <w:t>Information technology</w:t>
      </w:r>
    </w:p>
    <w:p w14:paraId="15D7062F" w14:textId="5BDD50D3" w:rsidR="00875459" w:rsidRDefault="00875459" w:rsidP="00875459">
      <w:pPr>
        <w:pStyle w:val="SOPLevel3"/>
      </w:pPr>
      <w:r>
        <w:t>Communications</w:t>
      </w:r>
    </w:p>
    <w:p w14:paraId="547283D8" w14:textId="2C445DFB" w:rsidR="00875459" w:rsidRDefault="00875459" w:rsidP="00875459">
      <w:pPr>
        <w:pStyle w:val="SOPLevel3"/>
      </w:pPr>
      <w:r>
        <w:t>Maintenance</w:t>
      </w:r>
    </w:p>
    <w:p w14:paraId="55D63E99" w14:textId="1166DE9E" w:rsidR="00875459" w:rsidRDefault="00875459" w:rsidP="00875459">
      <w:pPr>
        <w:pStyle w:val="SOPLevel3"/>
      </w:pPr>
      <w:r>
        <w:t>Facilities</w:t>
      </w:r>
    </w:p>
    <w:p w14:paraId="32770334" w14:textId="733F1389" w:rsidR="000F5F8D" w:rsidRDefault="000F5F8D" w:rsidP="00875459">
      <w:pPr>
        <w:pStyle w:val="SOPLevel3"/>
      </w:pPr>
      <w:r>
        <w:lastRenderedPageBreak/>
        <w:t>First responders</w:t>
      </w:r>
    </w:p>
    <w:p w14:paraId="5E31793B" w14:textId="3055B0F5" w:rsidR="00875459" w:rsidRDefault="00875459" w:rsidP="00875459">
      <w:pPr>
        <w:pStyle w:val="SOPLevel2"/>
      </w:pPr>
      <w:r>
        <w:t xml:space="preserve">If the event </w:t>
      </w:r>
      <w:r w:rsidR="0021221C">
        <w:t>will affect IRB committee meetings, from convening in person or virtually:</w:t>
      </w:r>
    </w:p>
    <w:p w14:paraId="2C02BD4A" w14:textId="77777777" w:rsidR="000A4436" w:rsidRDefault="000A4436" w:rsidP="0021221C">
      <w:pPr>
        <w:pStyle w:val="SOPLevel3"/>
      </w:pPr>
      <w:r>
        <w:t>Develop a communication plan for IRB staff and members to provide information and updates.</w:t>
      </w:r>
    </w:p>
    <w:p w14:paraId="62727467" w14:textId="07B7AA09" w:rsidR="0021221C" w:rsidRDefault="0021221C" w:rsidP="0021221C">
      <w:pPr>
        <w:pStyle w:val="SOPLevel3"/>
      </w:pPr>
      <w:r>
        <w:t>Rescheduling of the meeting</w:t>
      </w:r>
    </w:p>
    <w:p w14:paraId="3BBE3F7F" w14:textId="154A61E7" w:rsidR="0021221C" w:rsidRDefault="0021221C" w:rsidP="0021221C">
      <w:pPr>
        <w:pStyle w:val="SOPLevel3"/>
      </w:pPr>
      <w:r>
        <w:t>Developing an alternative method to hold the meeting such as:</w:t>
      </w:r>
    </w:p>
    <w:p w14:paraId="76A0BF18" w14:textId="1993C068" w:rsidR="0021221C" w:rsidRDefault="0021221C" w:rsidP="0021221C">
      <w:pPr>
        <w:pStyle w:val="SOPLevel4"/>
      </w:pPr>
      <w:r>
        <w:t>Relocating the site of the meeting</w:t>
      </w:r>
    </w:p>
    <w:p w14:paraId="54491DF0" w14:textId="640550E1" w:rsidR="0021221C" w:rsidRDefault="0021221C" w:rsidP="0021221C">
      <w:pPr>
        <w:pStyle w:val="SOPLevel4"/>
      </w:pPr>
      <w:r>
        <w:t>Developing a method to hold the meeting virtually, such as via zoom or conference call</w:t>
      </w:r>
    </w:p>
    <w:p w14:paraId="3AFCB74F" w14:textId="2B1A07C7" w:rsidR="0021221C" w:rsidRDefault="0021221C" w:rsidP="0021221C">
      <w:pPr>
        <w:pStyle w:val="SOPLevel4"/>
      </w:pPr>
      <w:r>
        <w:t>Cancellation of the meeting</w:t>
      </w:r>
    </w:p>
    <w:p w14:paraId="20A934E3" w14:textId="169D4109" w:rsidR="0021221C" w:rsidRDefault="0021221C" w:rsidP="00A80C25">
      <w:pPr>
        <w:pStyle w:val="SOPLevel4"/>
      </w:pPr>
      <w:r>
        <w:t>If changes to the meeting will result in currently approved studies having their approval lapse, the investigators will be notified and instructed to cease all study related activities that are not necessary for subject safety, and a reportable new information submission will be initiated by the investigator and/or IRB describing the reason for the lapse and what procedures were undertaken to mitigate any risks.</w:t>
      </w:r>
    </w:p>
    <w:p w14:paraId="29D4B25D" w14:textId="5BB756F9" w:rsidR="00A80C25" w:rsidRDefault="000F5F8D" w:rsidP="00A80C25">
      <w:pPr>
        <w:pStyle w:val="SOPLevel4"/>
      </w:pPr>
      <w:r>
        <w:t>Enter</w:t>
      </w:r>
      <w:r w:rsidR="00A80C25">
        <w:t xml:space="preserve"> a reliance agreement to allow another IRB to review and approve protocols.</w:t>
      </w:r>
    </w:p>
    <w:p w14:paraId="31F52411" w14:textId="53BE61FE" w:rsidR="005A476D" w:rsidRDefault="0021221C" w:rsidP="00095397">
      <w:pPr>
        <w:pStyle w:val="SOPLevel2"/>
      </w:pPr>
      <w:r>
        <w:t>If the event will affect the ability of IRB staff to review and approve protocols:</w:t>
      </w:r>
    </w:p>
    <w:p w14:paraId="2211D538" w14:textId="77777777" w:rsidR="000A4436" w:rsidRDefault="000A4436" w:rsidP="000A4436">
      <w:pPr>
        <w:pStyle w:val="SOPLevel3"/>
      </w:pPr>
      <w:r>
        <w:t>Develop a communication plan for IRB staff and members to provide information and updates.</w:t>
      </w:r>
    </w:p>
    <w:p w14:paraId="49C23E57" w14:textId="1AB99288" w:rsidR="0021221C" w:rsidRDefault="0021221C" w:rsidP="0021221C">
      <w:pPr>
        <w:pStyle w:val="SOPLevel3"/>
      </w:pPr>
      <w:r>
        <w:t xml:space="preserve">A process will be developed </w:t>
      </w:r>
      <w:r w:rsidR="003B66B0">
        <w:t>to allow reviewers to perform their reviews remotely:</w:t>
      </w:r>
    </w:p>
    <w:p w14:paraId="5C372B3E" w14:textId="52C88D80" w:rsidR="003B66B0" w:rsidRDefault="003B66B0" w:rsidP="003B66B0">
      <w:pPr>
        <w:pStyle w:val="SOPLevel4"/>
      </w:pPr>
      <w:r>
        <w:t>Utilize remote computers to access the electronic submission system for review</w:t>
      </w:r>
    </w:p>
    <w:p w14:paraId="72E946F5" w14:textId="5C7C56A1" w:rsidR="003B66B0" w:rsidRDefault="003B66B0" w:rsidP="003B66B0">
      <w:pPr>
        <w:pStyle w:val="SOPLevel4"/>
      </w:pPr>
      <w:r>
        <w:t>Reassign studies to other reviewers who are still able to perform reviews</w:t>
      </w:r>
    </w:p>
    <w:p w14:paraId="29145135" w14:textId="136B0259" w:rsidR="003B66B0" w:rsidRDefault="003B66B0" w:rsidP="003B66B0">
      <w:pPr>
        <w:pStyle w:val="SOPLevel4"/>
      </w:pPr>
      <w:r>
        <w:t>Delay the review of protocols</w:t>
      </w:r>
    </w:p>
    <w:p w14:paraId="0B45D1D3" w14:textId="2FDCCDC6" w:rsidR="003B66B0" w:rsidRDefault="003B66B0" w:rsidP="003B66B0">
      <w:pPr>
        <w:pStyle w:val="SOPLevel4"/>
      </w:pPr>
      <w:r>
        <w:t>If changes to the review process result in currently approved studies having their approval lapse, the investigators will be notified and instructed to cease all study related activities that are not necessary for subject safety, and a reportable new information submission will be initiated by the investigator and/or IRB describing the reason for the lapse and what procedures were undertaken to mitigate any risks.</w:t>
      </w:r>
    </w:p>
    <w:p w14:paraId="44CEEAEA" w14:textId="1AE4FF06" w:rsidR="00A80C25" w:rsidRDefault="000F5F8D" w:rsidP="00A80C25">
      <w:pPr>
        <w:pStyle w:val="SOPLevel4"/>
      </w:pPr>
      <w:r>
        <w:t xml:space="preserve">Enter </w:t>
      </w:r>
      <w:r w:rsidR="00A80C25">
        <w:t>a reliance agreement to allow another IRB to review and approve protocols.</w:t>
      </w:r>
    </w:p>
    <w:p w14:paraId="7F629329" w14:textId="409CE684" w:rsidR="005A476D" w:rsidRDefault="003B66B0" w:rsidP="00095397">
      <w:pPr>
        <w:pStyle w:val="SOPLevel2"/>
      </w:pPr>
      <w:r>
        <w:t>If the event affects normal communications, alternative communications strategies will be identified</w:t>
      </w:r>
    </w:p>
    <w:p w14:paraId="5E442214" w14:textId="1B66EB60" w:rsidR="003B66B0" w:rsidRDefault="003B66B0" w:rsidP="003B66B0">
      <w:pPr>
        <w:pStyle w:val="SOPLevel3"/>
      </w:pPr>
      <w:r>
        <w:t>Telephone</w:t>
      </w:r>
    </w:p>
    <w:p w14:paraId="56607580" w14:textId="227D6156" w:rsidR="003B66B0" w:rsidRDefault="003B66B0" w:rsidP="003B66B0">
      <w:pPr>
        <w:pStyle w:val="SOPLevel3"/>
      </w:pPr>
      <w:r>
        <w:t>Email</w:t>
      </w:r>
    </w:p>
    <w:p w14:paraId="3F0BE361" w14:textId="1E82C9C7" w:rsidR="003B66B0" w:rsidRDefault="003B66B0" w:rsidP="003B66B0">
      <w:pPr>
        <w:pStyle w:val="SOPLevel3"/>
      </w:pPr>
      <w:r>
        <w:t>Mobile telephone</w:t>
      </w:r>
    </w:p>
    <w:p w14:paraId="1A838CA5" w14:textId="029EA4A3" w:rsidR="003B66B0" w:rsidRDefault="003B66B0" w:rsidP="003B66B0">
      <w:pPr>
        <w:pStyle w:val="SOPLevel3"/>
      </w:pPr>
      <w:r>
        <w:t>Text messaging</w:t>
      </w:r>
    </w:p>
    <w:p w14:paraId="1B1EB3A5" w14:textId="6E944C12" w:rsidR="003B66B0" w:rsidRDefault="003B66B0" w:rsidP="003B66B0">
      <w:pPr>
        <w:pStyle w:val="SOPLevel3"/>
      </w:pPr>
      <w:r>
        <w:t>Social media platforms</w:t>
      </w:r>
    </w:p>
    <w:p w14:paraId="2E1D39C7" w14:textId="171814D4" w:rsidR="005A476D" w:rsidRDefault="003B66B0" w:rsidP="00095397">
      <w:pPr>
        <w:pStyle w:val="SOPLevel2"/>
      </w:pPr>
      <w:r>
        <w:t>If the event may impact the ability of investigators to effectively carry out human research:</w:t>
      </w:r>
    </w:p>
    <w:p w14:paraId="78DFC90C" w14:textId="04A05CD3" w:rsidR="005A476D" w:rsidRDefault="003B66B0" w:rsidP="00095397">
      <w:pPr>
        <w:pStyle w:val="SOPLevel3"/>
      </w:pPr>
      <w:r>
        <w:t>The ORC will consult with</w:t>
      </w:r>
      <w:r w:rsidR="000A4436">
        <w:t xml:space="preserve"> </w:t>
      </w:r>
      <w:r w:rsidR="000F5F8D">
        <w:t xml:space="preserve">appropriate </w:t>
      </w:r>
      <w:r w:rsidR="000A4436">
        <w:t>institutional leadership of</w:t>
      </w:r>
      <w:r>
        <w:t xml:space="preserve"> parties affected to develop guidance for investigators to </w:t>
      </w:r>
      <w:r w:rsidR="00AE7BCE">
        <w:t>carry out or suspend Human research:</w:t>
      </w:r>
    </w:p>
    <w:p w14:paraId="16B05D77" w14:textId="7FDF54AE" w:rsidR="00AE7BCE" w:rsidRDefault="00AE7BCE" w:rsidP="00AE7BCE">
      <w:pPr>
        <w:pStyle w:val="SOPLevel4"/>
      </w:pPr>
      <w:r>
        <w:t>Short term guidance</w:t>
      </w:r>
    </w:p>
    <w:p w14:paraId="35C08F2C" w14:textId="049E7EB2" w:rsidR="00AE7BCE" w:rsidRDefault="00AE7BCE" w:rsidP="00AE7BCE">
      <w:pPr>
        <w:pStyle w:val="SOPLevel4"/>
      </w:pPr>
      <w:r>
        <w:lastRenderedPageBreak/>
        <w:t>Long term guidance</w:t>
      </w:r>
    </w:p>
    <w:p w14:paraId="4F6F1E59" w14:textId="044CB2EC" w:rsidR="00AE7BCE" w:rsidRDefault="00AE7BCE" w:rsidP="00AE7BCE">
      <w:pPr>
        <w:pStyle w:val="SOPLevel4"/>
      </w:pPr>
      <w:r>
        <w:t>Define what processes would require IRB approval, and which would not.</w:t>
      </w:r>
    </w:p>
    <w:p w14:paraId="0D78BDE9" w14:textId="2ADD1276" w:rsidR="00AE7BCE" w:rsidRDefault="00AE7BCE" w:rsidP="00AE7BCE">
      <w:pPr>
        <w:pStyle w:val="SOPLevel4"/>
      </w:pPr>
      <w:r>
        <w:t>Define when the event is over, and how normal operations can resume.</w:t>
      </w:r>
    </w:p>
    <w:p w14:paraId="74CEF7FB" w14:textId="77777777" w:rsidR="005A476D" w:rsidRDefault="0E41B0BA" w:rsidP="00095397">
      <w:pPr>
        <w:pStyle w:val="SOPLevel3"/>
      </w:pPr>
      <w:r>
        <w:t>File the approved new or revised document in the standard operating procedure files.</w:t>
      </w:r>
    </w:p>
    <w:p w14:paraId="38585432" w14:textId="77777777" w:rsidR="005A476D" w:rsidRDefault="0E41B0BA" w:rsidP="00095397">
      <w:pPr>
        <w:pStyle w:val="SOPLevel3"/>
      </w:pPr>
      <w:r>
        <w:t>Post the approved procedure on the Human Research Protection Program Web site.</w:t>
      </w:r>
    </w:p>
    <w:p w14:paraId="3254AD0A" w14:textId="77777777" w:rsidR="005A476D" w:rsidRDefault="0E41B0BA" w:rsidP="00095397">
      <w:pPr>
        <w:pStyle w:val="SOPLevel3"/>
      </w:pPr>
      <w:r>
        <w:t>File the old document, if any, in the archive files.</w:t>
      </w:r>
    </w:p>
    <w:p w14:paraId="2ABA2414" w14:textId="5EBB1911" w:rsidR="005A476D" w:rsidRDefault="0E41B0BA" w:rsidP="00095397">
      <w:pPr>
        <w:pStyle w:val="SOPLevel3"/>
      </w:pPr>
      <w:r>
        <w:t>Notify affected individuals informing them of the change.</w:t>
      </w:r>
    </w:p>
    <w:p w14:paraId="4ABD8B93" w14:textId="5EABAF66" w:rsidR="00AE7BCE" w:rsidRDefault="00AE7BCE" w:rsidP="00AE7BCE">
      <w:pPr>
        <w:pStyle w:val="SOPLevel2"/>
      </w:pPr>
      <w:r>
        <w:t>If the event is deemed to be a long term event that affects HRPP operations</w:t>
      </w:r>
      <w:r w:rsidR="000A4436">
        <w:t xml:space="preserve">, work with </w:t>
      </w:r>
      <w:r w:rsidR="000F5F8D">
        <w:t xml:space="preserve">appropriate </w:t>
      </w:r>
      <w:r w:rsidR="000A4436">
        <w:t>institutional leadership</w:t>
      </w:r>
      <w:r>
        <w:t>:</w:t>
      </w:r>
    </w:p>
    <w:p w14:paraId="621F47B9" w14:textId="5EE1435A" w:rsidR="00AE7BCE" w:rsidRDefault="00AE7BCE" w:rsidP="00AE7BCE">
      <w:pPr>
        <w:pStyle w:val="SOPLevel3"/>
      </w:pPr>
      <w:r>
        <w:t>Develop a plan to use alternative processes to review and approve protocols</w:t>
      </w:r>
    </w:p>
    <w:p w14:paraId="02E1B854" w14:textId="75501CA7" w:rsidR="00AE7BCE" w:rsidRDefault="00AE7BCE" w:rsidP="00AE7BCE">
      <w:pPr>
        <w:pStyle w:val="SOPLevel3"/>
      </w:pPr>
      <w:r>
        <w:t>Develop an effective communications plan</w:t>
      </w:r>
    </w:p>
    <w:p w14:paraId="1D6831F9" w14:textId="0863B057" w:rsidR="000A4436" w:rsidRDefault="000A4436" w:rsidP="00AE7BCE">
      <w:pPr>
        <w:pStyle w:val="SOPLevel3"/>
      </w:pPr>
      <w:r>
        <w:t>Provide updates and guidance to IRB staff</w:t>
      </w:r>
    </w:p>
    <w:p w14:paraId="7370A523" w14:textId="4BB134E0" w:rsidR="000A4436" w:rsidRDefault="000A4436" w:rsidP="00AE7BCE">
      <w:pPr>
        <w:pStyle w:val="SOPLevel3"/>
      </w:pPr>
      <w:r>
        <w:t>Provide updates to investigators</w:t>
      </w:r>
    </w:p>
    <w:p w14:paraId="0FFB7E42" w14:textId="77777777" w:rsidR="00664D4B" w:rsidRDefault="0E41B0BA" w:rsidP="00664D4B">
      <w:pPr>
        <w:pStyle w:val="SOPLevel1"/>
      </w:pPr>
      <w:r>
        <w:t>MATERIALS</w:t>
      </w:r>
    </w:p>
    <w:p w14:paraId="18FD1289" w14:textId="51A03FBB" w:rsidR="00664D4B" w:rsidRDefault="00422050" w:rsidP="00664D4B">
      <w:pPr>
        <w:pStyle w:val="SOPLevel2"/>
      </w:pPr>
      <w:r w:rsidRPr="00422050">
        <w:t>HRP-060-R02 - SOP - Annual Evaluations of the HRP</w:t>
      </w:r>
    </w:p>
    <w:p w14:paraId="0BB9C5B3" w14:textId="27DFA463" w:rsidR="00664D4B" w:rsidRDefault="00664D4B" w:rsidP="00664D4B">
      <w:pPr>
        <w:pStyle w:val="SOPLevel1"/>
      </w:pPr>
      <w:r>
        <w:t>References</w:t>
      </w:r>
    </w:p>
    <w:p w14:paraId="49B23591" w14:textId="769E21F9" w:rsidR="00664D4B" w:rsidRDefault="00664D4B" w:rsidP="00664D4B">
      <w:pPr>
        <w:pStyle w:val="SOPLevel2"/>
      </w:pPr>
      <w:r>
        <w:t>AAHRPP Element I.1.H Tip sheet</w:t>
      </w:r>
    </w:p>
    <w:p w14:paraId="0C71D50A" w14:textId="77777777" w:rsidR="00664D4B" w:rsidRDefault="00664D4B" w:rsidP="006E7A14">
      <w:pPr>
        <w:pStyle w:val="SOPLevel2"/>
        <w:numPr>
          <w:ilvl w:val="0"/>
          <w:numId w:val="0"/>
        </w:numPr>
        <w:ind w:left="936"/>
      </w:pPr>
    </w:p>
    <w:sectPr w:rsidR="00664D4B" w:rsidSect="00F664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7B00A" w14:textId="77777777" w:rsidR="00EB73AD" w:rsidRDefault="00EB73AD">
      <w:pPr>
        <w:spacing w:after="0" w:line="240" w:lineRule="auto"/>
      </w:pPr>
      <w:r>
        <w:separator/>
      </w:r>
    </w:p>
  </w:endnote>
  <w:endnote w:type="continuationSeparator" w:id="0">
    <w:p w14:paraId="60061E4C" w14:textId="77777777" w:rsidR="00EB73AD" w:rsidRDefault="00EB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DE34" w14:textId="4B8F2FFD" w:rsidR="00C77544" w:rsidRPr="00C77544" w:rsidRDefault="005A476D" w:rsidP="00C77544">
    <w:pPr>
      <w:pStyle w:val="SOPFooter"/>
      <w:tabs>
        <w:tab w:val="right" w:pos="9720"/>
        <w:tab w:val="right" w:pos="10620"/>
      </w:tabs>
      <w:jc w:val="left"/>
      <w:rPr>
        <w:sz w:val="16"/>
      </w:rPr>
    </w:pPr>
    <w:r w:rsidRPr="009A4687">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FD9C" w14:textId="77777777" w:rsidR="00EB73AD" w:rsidRDefault="00EB73AD">
      <w:pPr>
        <w:spacing w:after="0" w:line="240" w:lineRule="auto"/>
      </w:pPr>
      <w:r>
        <w:separator/>
      </w:r>
    </w:p>
  </w:footnote>
  <w:footnote w:type="continuationSeparator" w:id="0">
    <w:p w14:paraId="4B94D5A5" w14:textId="77777777" w:rsidR="00EB73AD" w:rsidRDefault="00EB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501D" w14:textId="77777777" w:rsidR="00677EFA" w:rsidRDefault="00677EFA" w:rsidP="00A37C51">
    <w:pPr>
      <w:spacing w:after="0"/>
    </w:pPr>
    <w:r>
      <w:rPr>
        <w:noProof/>
      </w:rPr>
      <w:drawing>
        <wp:inline distT="0" distB="0" distL="0" distR="0" wp14:anchorId="63F21EFD" wp14:editId="5A9BCE76">
          <wp:extent cx="4324350" cy="741515"/>
          <wp:effectExtent l="0" t="0" r="0" b="1905"/>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98070" cy="754156"/>
                  </a:xfrm>
                  <a:prstGeom prst="rect">
                    <a:avLst/>
                  </a:prstGeom>
                  <a:noFill/>
                  <a:ln>
                    <a:noFill/>
                  </a:ln>
                </pic:spPr>
              </pic:pic>
            </a:graphicData>
          </a:graphic>
        </wp:inline>
      </w:drawing>
    </w:r>
  </w:p>
  <w:tbl>
    <w:tblPr>
      <w:tblW w:w="64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
      <w:gridCol w:w="1308"/>
      <w:gridCol w:w="990"/>
      <w:gridCol w:w="1733"/>
      <w:gridCol w:w="2229"/>
    </w:tblGrid>
    <w:tr w:rsidR="00550847" w:rsidRPr="008B2C97" w14:paraId="5DAB6C7B" w14:textId="77777777" w:rsidTr="00550847">
      <w:trPr>
        <w:cantSplit/>
        <w:trHeight w:hRule="exact" w:val="353"/>
      </w:trPr>
      <w:tc>
        <w:tcPr>
          <w:tcW w:w="0" w:type="auto"/>
          <w:vMerge w:val="restart"/>
          <w:tcBorders>
            <w:top w:val="nil"/>
            <w:left w:val="nil"/>
            <w:bottom w:val="nil"/>
            <w:right w:val="nil"/>
          </w:tcBorders>
          <w:vAlign w:val="center"/>
        </w:tcPr>
        <w:p w14:paraId="02EB378F" w14:textId="77777777" w:rsidR="00550847" w:rsidRPr="008B2C97" w:rsidRDefault="00550847" w:rsidP="00F56346">
          <w:pPr>
            <w:jc w:val="center"/>
            <w:rPr>
              <w:color w:val="FFFFFF"/>
            </w:rPr>
          </w:pPr>
        </w:p>
      </w:tc>
      <w:tc>
        <w:tcPr>
          <w:tcW w:w="1308" w:type="dxa"/>
          <w:tcBorders>
            <w:top w:val="nil"/>
            <w:left w:val="nil"/>
            <w:bottom w:val="single" w:sz="8" w:space="0" w:color="auto"/>
            <w:right w:val="nil"/>
          </w:tcBorders>
        </w:tcPr>
        <w:p w14:paraId="1699B310" w14:textId="77777777" w:rsidR="00550847" w:rsidRPr="008B2C97" w:rsidRDefault="00550847" w:rsidP="00F56346">
          <w:pPr>
            <w:pStyle w:val="SOPName"/>
            <w:jc w:val="right"/>
            <w:rPr>
              <w:rStyle w:val="SOPLeader"/>
              <w:rFonts w:cs="Arial"/>
            </w:rPr>
          </w:pPr>
        </w:p>
      </w:tc>
      <w:tc>
        <w:tcPr>
          <w:tcW w:w="4952" w:type="dxa"/>
          <w:gridSpan w:val="3"/>
          <w:tcBorders>
            <w:top w:val="nil"/>
            <w:left w:val="nil"/>
            <w:bottom w:val="single" w:sz="8" w:space="0" w:color="auto"/>
            <w:right w:val="nil"/>
          </w:tcBorders>
          <w:vAlign w:val="center"/>
        </w:tcPr>
        <w:p w14:paraId="6A05A809" w14:textId="46E692C7" w:rsidR="00550847" w:rsidRPr="008B2C97" w:rsidRDefault="00550847" w:rsidP="00F56346">
          <w:pPr>
            <w:pStyle w:val="SOPName"/>
            <w:jc w:val="right"/>
            <w:rPr>
              <w:rStyle w:val="SOPLeader"/>
              <w:rFonts w:cs="Arial"/>
            </w:rPr>
          </w:pPr>
        </w:p>
      </w:tc>
    </w:tr>
    <w:tr w:rsidR="00550847" w:rsidRPr="008B2C97" w14:paraId="262F512B" w14:textId="77777777" w:rsidTr="00C37BE7">
      <w:trPr>
        <w:cantSplit/>
        <w:trHeight w:val="255"/>
      </w:trPr>
      <w:tc>
        <w:tcPr>
          <w:tcW w:w="0" w:type="auto"/>
          <w:vMerge/>
          <w:tcBorders>
            <w:left w:val="nil"/>
            <w:bottom w:val="nil"/>
            <w:right w:val="single" w:sz="8" w:space="0" w:color="auto"/>
          </w:tcBorders>
        </w:tcPr>
        <w:p w14:paraId="5A39BBE3" w14:textId="77777777" w:rsidR="00550847" w:rsidRDefault="00550847" w:rsidP="00F56346"/>
      </w:tc>
      <w:tc>
        <w:tcPr>
          <w:tcW w:w="6260" w:type="dxa"/>
          <w:gridSpan w:val="4"/>
          <w:tcBorders>
            <w:left w:val="single" w:sz="8" w:space="0" w:color="auto"/>
            <w:bottom w:val="single" w:sz="8" w:space="0" w:color="auto"/>
            <w:right w:val="single" w:sz="8" w:space="0" w:color="auto"/>
          </w:tcBorders>
        </w:tcPr>
        <w:p w14:paraId="37957716" w14:textId="21772D54" w:rsidR="00550847" w:rsidRPr="00EA6348" w:rsidRDefault="00550847" w:rsidP="000F5F8D">
          <w:pPr>
            <w:pStyle w:val="SOPName"/>
            <w:rPr>
              <w:rFonts w:cs="Arial"/>
            </w:rPr>
          </w:pPr>
          <w:r>
            <w:rPr>
              <w:rStyle w:val="SOPLeader"/>
              <w:rFonts w:cs="Arial"/>
            </w:rPr>
            <w:t xml:space="preserve">SOP: </w:t>
          </w:r>
          <w:r>
            <w:rPr>
              <w:rStyle w:val="SOPLeader"/>
              <w:rFonts w:cs="Arial"/>
              <w:b w:val="0"/>
            </w:rPr>
            <w:t>HRPP Emergency Preparedness Plan</w:t>
          </w:r>
        </w:p>
      </w:tc>
    </w:tr>
    <w:tr w:rsidR="00550847" w:rsidRPr="008B2C97" w14:paraId="6C04ECE5" w14:textId="77777777" w:rsidTr="00550847">
      <w:trPr>
        <w:cantSplit/>
        <w:trHeight w:val="255"/>
      </w:trPr>
      <w:tc>
        <w:tcPr>
          <w:tcW w:w="0" w:type="auto"/>
          <w:vMerge/>
          <w:tcBorders>
            <w:left w:val="nil"/>
            <w:bottom w:val="nil"/>
            <w:right w:val="single" w:sz="8" w:space="0" w:color="auto"/>
          </w:tcBorders>
        </w:tcPr>
        <w:p w14:paraId="41C8F396" w14:textId="77777777" w:rsidR="00550847" w:rsidRDefault="00550847" w:rsidP="00F56346"/>
      </w:tc>
      <w:tc>
        <w:tcPr>
          <w:tcW w:w="130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181BC81" w14:textId="77777777" w:rsidR="00550847" w:rsidRPr="008B2C97" w:rsidRDefault="00550847" w:rsidP="00F56346">
          <w:pPr>
            <w:pStyle w:val="SOPTableHeader"/>
            <w:rPr>
              <w:sz w:val="18"/>
              <w:szCs w:val="18"/>
            </w:rPr>
          </w:pPr>
          <w:r w:rsidRPr="008B2C97">
            <w:rPr>
              <w:sz w:val="18"/>
              <w:szCs w:val="18"/>
            </w:rPr>
            <w:t>NUMBER</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B02AFC4" w14:textId="77777777" w:rsidR="00550847" w:rsidRPr="008B2C97" w:rsidRDefault="00550847" w:rsidP="00F56346">
          <w:pPr>
            <w:pStyle w:val="SOPTableHeader"/>
            <w:rPr>
              <w:sz w:val="18"/>
              <w:szCs w:val="18"/>
            </w:rPr>
          </w:pPr>
          <w:r w:rsidRPr="008B2C97">
            <w:rPr>
              <w:sz w:val="18"/>
              <w:szCs w:val="18"/>
            </w:rPr>
            <w:t>DATE</w:t>
          </w:r>
        </w:p>
      </w:tc>
      <w:tc>
        <w:tcPr>
          <w:tcW w:w="1733" w:type="dxa"/>
          <w:tcBorders>
            <w:top w:val="single" w:sz="8" w:space="0" w:color="auto"/>
            <w:left w:val="single" w:sz="8" w:space="0" w:color="auto"/>
            <w:bottom w:val="single" w:sz="8" w:space="0" w:color="auto"/>
            <w:right w:val="single" w:sz="8" w:space="0" w:color="auto"/>
          </w:tcBorders>
          <w:vAlign w:val="center"/>
        </w:tcPr>
        <w:p w14:paraId="61973066" w14:textId="75C2A4BC" w:rsidR="00550847" w:rsidRPr="008B2C97" w:rsidRDefault="00550847" w:rsidP="00F56346">
          <w:pPr>
            <w:pStyle w:val="SOPTableHeader"/>
            <w:rPr>
              <w:sz w:val="18"/>
              <w:szCs w:val="18"/>
            </w:rPr>
          </w:pPr>
          <w:r>
            <w:rPr>
              <w:sz w:val="18"/>
              <w:szCs w:val="18"/>
            </w:rPr>
            <w:t>AUTHOR</w:t>
          </w:r>
        </w:p>
      </w:tc>
      <w:tc>
        <w:tcPr>
          <w:tcW w:w="222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33EDD17" w14:textId="0C4581F4" w:rsidR="00550847" w:rsidRPr="008B2C97" w:rsidRDefault="00550847" w:rsidP="00F56346">
          <w:pPr>
            <w:pStyle w:val="SOPTableHeader"/>
            <w:rPr>
              <w:sz w:val="18"/>
              <w:szCs w:val="18"/>
            </w:rPr>
          </w:pPr>
          <w:r w:rsidRPr="008B2C97">
            <w:rPr>
              <w:sz w:val="18"/>
              <w:szCs w:val="18"/>
            </w:rPr>
            <w:t>PAGE</w:t>
          </w:r>
        </w:p>
      </w:tc>
    </w:tr>
    <w:tr w:rsidR="00550847" w:rsidRPr="008B2C97" w14:paraId="287C50A2" w14:textId="77777777" w:rsidTr="00550847">
      <w:trPr>
        <w:cantSplit/>
        <w:trHeight w:val="255"/>
      </w:trPr>
      <w:tc>
        <w:tcPr>
          <w:tcW w:w="0" w:type="auto"/>
          <w:vMerge/>
          <w:tcBorders>
            <w:left w:val="nil"/>
            <w:bottom w:val="nil"/>
            <w:right w:val="single" w:sz="8" w:space="0" w:color="auto"/>
          </w:tcBorders>
        </w:tcPr>
        <w:p w14:paraId="72A3D3EC" w14:textId="77777777" w:rsidR="00550847" w:rsidRDefault="00550847" w:rsidP="00F56346"/>
      </w:tc>
      <w:tc>
        <w:tcPr>
          <w:tcW w:w="130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FAEB4CB" w14:textId="46B04F79" w:rsidR="00550847" w:rsidRPr="0057043C" w:rsidRDefault="00550847" w:rsidP="000F5F8D">
          <w:pPr>
            <w:pStyle w:val="SOPTableEntry"/>
          </w:pPr>
          <w:r>
            <w:t>HRP-089-R00</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8244D47" w14:textId="578E4841" w:rsidR="00550847" w:rsidRPr="0057043C" w:rsidRDefault="00550847" w:rsidP="00F56346">
          <w:pPr>
            <w:pStyle w:val="SOPTableEntry"/>
          </w:pPr>
          <w:r>
            <w:t>12/22/22</w:t>
          </w:r>
        </w:p>
      </w:tc>
      <w:tc>
        <w:tcPr>
          <w:tcW w:w="1733" w:type="dxa"/>
          <w:tcBorders>
            <w:top w:val="single" w:sz="8" w:space="0" w:color="auto"/>
            <w:left w:val="single" w:sz="8" w:space="0" w:color="auto"/>
            <w:bottom w:val="single" w:sz="8" w:space="0" w:color="auto"/>
            <w:right w:val="single" w:sz="8" w:space="0" w:color="auto"/>
          </w:tcBorders>
          <w:vAlign w:val="center"/>
        </w:tcPr>
        <w:p w14:paraId="346F1520" w14:textId="3395EABA" w:rsidR="00550847" w:rsidRPr="0057043C" w:rsidRDefault="00550847" w:rsidP="00F56346">
          <w:pPr>
            <w:pStyle w:val="SOPTableEntry"/>
          </w:pPr>
          <w:r>
            <w:t>R. Karalus</w:t>
          </w:r>
        </w:p>
      </w:tc>
      <w:tc>
        <w:tcPr>
          <w:tcW w:w="222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EF39109" w14:textId="5CEA52C4" w:rsidR="00550847" w:rsidRPr="0057043C" w:rsidRDefault="00550847" w:rsidP="00F56346">
          <w:pPr>
            <w:pStyle w:val="SOPTableEntry"/>
          </w:pPr>
          <w:r w:rsidRPr="0057043C">
            <w:fldChar w:fldCharType="begin"/>
          </w:r>
          <w:r w:rsidRPr="0057043C">
            <w:instrText xml:space="preserve"> PAGE </w:instrText>
          </w:r>
          <w:r w:rsidRPr="0057043C">
            <w:fldChar w:fldCharType="separate"/>
          </w:r>
          <w:r>
            <w:rPr>
              <w:noProof/>
            </w:rPr>
            <w:t>1</w:t>
          </w:r>
          <w:r w:rsidRPr="0057043C">
            <w:fldChar w:fldCharType="end"/>
          </w:r>
          <w:r w:rsidRPr="0057043C">
            <w:t xml:space="preserve"> of </w:t>
          </w:r>
          <w:r>
            <w:fldChar w:fldCharType="begin"/>
          </w:r>
          <w:r>
            <w:instrText>NUMPAGES</w:instrText>
          </w:r>
          <w:r>
            <w:fldChar w:fldCharType="separate"/>
          </w:r>
          <w:r>
            <w:rPr>
              <w:noProof/>
            </w:rPr>
            <w:t>3</w:t>
          </w:r>
          <w:r>
            <w:fldChar w:fldCharType="end"/>
          </w:r>
        </w:p>
      </w:tc>
    </w:tr>
  </w:tbl>
  <w:p w14:paraId="0D0B940D" w14:textId="77777777" w:rsidR="00A9223F" w:rsidRPr="007A2BC4" w:rsidRDefault="0055084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6D"/>
    <w:rsid w:val="00000CAC"/>
    <w:rsid w:val="00060DF3"/>
    <w:rsid w:val="000A4436"/>
    <w:rsid w:val="000F5F8D"/>
    <w:rsid w:val="0021221C"/>
    <w:rsid w:val="00293D03"/>
    <w:rsid w:val="003B66B0"/>
    <w:rsid w:val="003C4DF4"/>
    <w:rsid w:val="00422050"/>
    <w:rsid w:val="00485B45"/>
    <w:rsid w:val="00550847"/>
    <w:rsid w:val="005A476D"/>
    <w:rsid w:val="00664D4B"/>
    <w:rsid w:val="00677EFA"/>
    <w:rsid w:val="007807BC"/>
    <w:rsid w:val="00875459"/>
    <w:rsid w:val="00947F0A"/>
    <w:rsid w:val="00A20BFB"/>
    <w:rsid w:val="00A37C51"/>
    <w:rsid w:val="00A80C25"/>
    <w:rsid w:val="00AE7BCE"/>
    <w:rsid w:val="00B37222"/>
    <w:rsid w:val="00B46E57"/>
    <w:rsid w:val="00C44B79"/>
    <w:rsid w:val="00CC7109"/>
    <w:rsid w:val="00E82D9C"/>
    <w:rsid w:val="00E9513B"/>
    <w:rsid w:val="00EB33D4"/>
    <w:rsid w:val="00EB73AD"/>
    <w:rsid w:val="00F833C2"/>
    <w:rsid w:val="0E41B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1F0E6A"/>
  <w15:docId w15:val="{FB13F19A-839C-4F16-A11B-A02E8EDD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5A476D"/>
    <w:pPr>
      <w:spacing w:after="0" w:line="240" w:lineRule="auto"/>
      <w:jc w:val="center"/>
    </w:pPr>
    <w:rPr>
      <w:rFonts w:ascii="Arial" w:eastAsia="Times New Roman" w:hAnsi="Arial" w:cs="Tahoma"/>
      <w:sz w:val="18"/>
      <w:szCs w:val="20"/>
    </w:rPr>
  </w:style>
  <w:style w:type="character" w:customStyle="1" w:styleId="SOPLeader">
    <w:name w:val="SOP Leader"/>
    <w:rsid w:val="005A476D"/>
    <w:rPr>
      <w:rFonts w:ascii="Calibri" w:hAnsi="Calibri"/>
      <w:b/>
      <w:sz w:val="24"/>
    </w:rPr>
  </w:style>
  <w:style w:type="paragraph" w:customStyle="1" w:styleId="SOPName">
    <w:name w:val="SOP Name"/>
    <w:basedOn w:val="Normal"/>
    <w:rsid w:val="005A476D"/>
    <w:pPr>
      <w:spacing w:after="0" w:line="240" w:lineRule="auto"/>
    </w:pPr>
    <w:rPr>
      <w:rFonts w:ascii="Arial" w:eastAsia="Times New Roman" w:hAnsi="Arial" w:cs="Tahoma"/>
      <w:sz w:val="24"/>
      <w:szCs w:val="20"/>
    </w:rPr>
  </w:style>
  <w:style w:type="character" w:styleId="Hyperlink">
    <w:name w:val="Hyperlink"/>
    <w:semiHidden/>
    <w:rsid w:val="005A476D"/>
    <w:rPr>
      <w:color w:val="0000FF"/>
      <w:u w:val="single"/>
    </w:rPr>
  </w:style>
  <w:style w:type="paragraph" w:customStyle="1" w:styleId="SOPTableHeader">
    <w:name w:val="SOP Table Header"/>
    <w:basedOn w:val="Normal"/>
    <w:rsid w:val="005A476D"/>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5A476D"/>
    <w:rPr>
      <w:sz w:val="18"/>
    </w:rPr>
  </w:style>
  <w:style w:type="paragraph" w:customStyle="1" w:styleId="SOPLevel1">
    <w:name w:val="SOP Level 1"/>
    <w:basedOn w:val="Normal"/>
    <w:rsid w:val="005A476D"/>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5A476D"/>
    <w:pPr>
      <w:numPr>
        <w:ilvl w:val="1"/>
      </w:numPr>
      <w:spacing w:before="20" w:after="20"/>
      <w:ind w:left="936" w:hanging="576"/>
    </w:pPr>
    <w:rPr>
      <w:b w:val="0"/>
    </w:rPr>
  </w:style>
  <w:style w:type="paragraph" w:customStyle="1" w:styleId="SOPLevel3">
    <w:name w:val="SOP Level 3"/>
    <w:basedOn w:val="SOPLevel2"/>
    <w:rsid w:val="005A476D"/>
    <w:pPr>
      <w:numPr>
        <w:ilvl w:val="2"/>
      </w:numPr>
      <w:ind w:left="1728" w:hanging="792"/>
    </w:pPr>
  </w:style>
  <w:style w:type="paragraph" w:customStyle="1" w:styleId="SOPLevel4">
    <w:name w:val="SOP Level 4"/>
    <w:basedOn w:val="SOPLevel3"/>
    <w:rsid w:val="005A476D"/>
    <w:pPr>
      <w:numPr>
        <w:ilvl w:val="3"/>
      </w:numPr>
      <w:tabs>
        <w:tab w:val="clear" w:pos="2898"/>
        <w:tab w:val="num" w:pos="2700"/>
      </w:tabs>
      <w:ind w:left="2736" w:hanging="1008"/>
    </w:pPr>
  </w:style>
  <w:style w:type="paragraph" w:customStyle="1" w:styleId="SOPLevel5">
    <w:name w:val="SOP Level 5"/>
    <w:basedOn w:val="SOPLevel4"/>
    <w:rsid w:val="005A476D"/>
    <w:pPr>
      <w:numPr>
        <w:ilvl w:val="4"/>
      </w:numPr>
      <w:ind w:left="3960" w:hanging="1224"/>
    </w:pPr>
  </w:style>
  <w:style w:type="paragraph" w:customStyle="1" w:styleId="SOPLevel6">
    <w:name w:val="SOP Level 6"/>
    <w:basedOn w:val="SOPLevel5"/>
    <w:rsid w:val="005A476D"/>
    <w:pPr>
      <w:numPr>
        <w:ilvl w:val="5"/>
      </w:numPr>
      <w:ind w:left="5400" w:hanging="1440"/>
    </w:pPr>
  </w:style>
  <w:style w:type="paragraph" w:styleId="Header">
    <w:name w:val="header"/>
    <w:basedOn w:val="Normal"/>
    <w:link w:val="HeaderChar"/>
    <w:uiPriority w:val="99"/>
    <w:unhideWhenUsed/>
    <w:rsid w:val="0006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F3"/>
  </w:style>
  <w:style w:type="paragraph" w:styleId="Footer">
    <w:name w:val="footer"/>
    <w:basedOn w:val="Normal"/>
    <w:link w:val="FooterChar"/>
    <w:uiPriority w:val="99"/>
    <w:unhideWhenUsed/>
    <w:rsid w:val="0006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F3"/>
  </w:style>
  <w:style w:type="paragraph" w:styleId="BalloonText">
    <w:name w:val="Balloon Text"/>
    <w:basedOn w:val="Normal"/>
    <w:link w:val="BalloonTextChar"/>
    <w:uiPriority w:val="99"/>
    <w:semiHidden/>
    <w:unhideWhenUsed/>
    <w:rsid w:val="00E9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13B"/>
    <w:rPr>
      <w:rFonts w:ascii="Tahoma" w:hAnsi="Tahoma" w:cs="Tahoma"/>
      <w:sz w:val="16"/>
      <w:szCs w:val="16"/>
    </w:rPr>
  </w:style>
  <w:style w:type="table" w:styleId="TableGrid">
    <w:name w:val="Table Grid"/>
    <w:basedOn w:val="TableNormal"/>
    <w:uiPriority w:val="59"/>
    <w:rsid w:val="0067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Huron Consulting Group, Inc.</dc:creator>
  <cp:keywords/>
  <dc:description/>
  <cp:lastModifiedBy>Karalus, Richard</cp:lastModifiedBy>
  <cp:revision>2</cp:revision>
  <dcterms:created xsi:type="dcterms:W3CDTF">2023-11-14T18:53:00Z</dcterms:created>
  <dcterms:modified xsi:type="dcterms:W3CDTF">2023-11-14T18:53:00Z</dcterms:modified>
</cp:coreProperties>
</file>